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6" w:rsidRPr="001D1859" w:rsidRDefault="00C82066" w:rsidP="00C82066">
      <w:pPr>
        <w:spacing w:after="75" w:line="240" w:lineRule="auto"/>
        <w:outlineLvl w:val="0"/>
        <w:rPr>
          <w:rFonts w:ascii="Arial" w:eastAsia="Times New Roman" w:hAnsi="Arial" w:cs="Arial"/>
          <w:color w:val="BE272D"/>
          <w:kern w:val="36"/>
          <w:sz w:val="12"/>
          <w:szCs w:val="16"/>
          <w:lang w:eastAsia="it-IT"/>
        </w:rPr>
      </w:pPr>
      <w:r w:rsidRPr="001D1859">
        <w:rPr>
          <w:rFonts w:ascii="Arial" w:eastAsia="Times New Roman" w:hAnsi="Arial" w:cs="Arial"/>
          <w:color w:val="BE272D"/>
          <w:kern w:val="36"/>
          <w:sz w:val="12"/>
          <w:szCs w:val="16"/>
          <w:lang w:eastAsia="it-IT"/>
        </w:rPr>
        <w:t>UE-</w:t>
      </w:r>
      <w:r w:rsidRPr="00C82066">
        <w:rPr>
          <w:rFonts w:ascii="Arial" w:eastAsia="Times New Roman" w:hAnsi="Arial" w:cs="Arial"/>
          <w:color w:val="BE272D"/>
          <w:kern w:val="36"/>
          <w:sz w:val="12"/>
          <w:szCs w:val="16"/>
          <w:lang w:eastAsia="it-IT"/>
        </w:rPr>
        <w:t>Le nuove competenze chiave per l'apprendimento permanente</w:t>
      </w:r>
    </w:p>
    <w:p w:rsidR="00EE6A31" w:rsidRPr="001D1859" w:rsidRDefault="00223F45" w:rsidP="00C82066">
      <w:pPr>
        <w:spacing w:after="75" w:line="240" w:lineRule="auto"/>
        <w:outlineLvl w:val="0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In merito alle competenze chiave per l’apprendimento permanente i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 xml:space="preserve">l 22 maggio </w:t>
      </w:r>
      <w:r w:rsidRPr="001D1859">
        <w:rPr>
          <w:rFonts w:ascii="Arial" w:hAnsi="Arial" w:cs="Arial"/>
          <w:color w:val="444444"/>
          <w:sz w:val="12"/>
          <w:szCs w:val="16"/>
        </w:rPr>
        <w:t xml:space="preserve"> è stata emanata una nuova</w:t>
      </w:r>
    </w:p>
    <w:p w:rsidR="00223F45" w:rsidRPr="001D1859" w:rsidRDefault="00223F45" w:rsidP="00C82066">
      <w:pPr>
        <w:spacing w:after="75" w:line="240" w:lineRule="auto"/>
        <w:outlineLvl w:val="0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 xml:space="preserve"> 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>R</w:t>
      </w:r>
      <w:r w:rsidRPr="001D1859">
        <w:rPr>
          <w:rFonts w:ascii="Arial" w:hAnsi="Arial" w:cs="Arial"/>
          <w:color w:val="444444"/>
          <w:sz w:val="12"/>
          <w:szCs w:val="16"/>
        </w:rPr>
        <w:t>accomandazione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 xml:space="preserve"> </w:t>
      </w:r>
      <w:r w:rsidRPr="001D1859">
        <w:rPr>
          <w:rFonts w:ascii="Arial" w:hAnsi="Arial" w:cs="Arial"/>
          <w:color w:val="444444"/>
          <w:sz w:val="12"/>
          <w:szCs w:val="16"/>
        </w:rPr>
        <w:t>che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 xml:space="preserve"> </w:t>
      </w:r>
      <w:r w:rsidRPr="001D1859">
        <w:rPr>
          <w:rFonts w:ascii="Arial" w:hAnsi="Arial" w:cs="Arial"/>
          <w:color w:val="444444"/>
          <w:sz w:val="12"/>
          <w:szCs w:val="16"/>
        </w:rPr>
        <w:t>sostituisce la precedente datata 18 dicembre 2006</w:t>
      </w:r>
    </w:p>
    <w:p w:rsidR="00EE6A31" w:rsidRPr="001D1859" w:rsidRDefault="00223F45" w:rsidP="00C82066">
      <w:pPr>
        <w:spacing w:after="75" w:line="240" w:lineRule="auto"/>
        <w:outlineLvl w:val="0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La raccomandazione è diretta agli Stati membri e rappresenta  un punto di riferimento e di guida per i governi</w:t>
      </w:r>
    </w:p>
    <w:p w:rsidR="00223F45" w:rsidRPr="001D1859" w:rsidRDefault="00223F45" w:rsidP="00C82066">
      <w:pPr>
        <w:spacing w:after="75" w:line="240" w:lineRule="auto"/>
        <w:outlineLvl w:val="0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 xml:space="preserve">  in materia di istruzione e formazione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>.</w:t>
      </w:r>
    </w:p>
    <w:p w:rsidR="00223F45" w:rsidRPr="001D1859" w:rsidRDefault="00223F45" w:rsidP="00223F45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 xml:space="preserve">Nel documento del consiglio dell’Unione Europea  dopo essere stata ricordata la precedente raccomandazione </w:t>
      </w:r>
    </w:p>
    <w:p w:rsidR="00223F45" w:rsidRPr="001D1859" w:rsidRDefault="00223F45" w:rsidP="00223F45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che è stata  un  </w:t>
      </w: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“riferimento per lo sviluppo di istruzione, formazione e apprendimento orientati alle competenze”</w:t>
      </w:r>
      <w:r w:rsidRPr="001D1859">
        <w:rPr>
          <w:rFonts w:ascii="Arial" w:hAnsi="Arial" w:cs="Arial"/>
          <w:color w:val="444444"/>
          <w:sz w:val="12"/>
          <w:szCs w:val="16"/>
        </w:rPr>
        <w:t> </w:t>
      </w:r>
    </w:p>
    <w:p w:rsidR="00223F45" w:rsidRPr="001D1859" w:rsidRDefault="00223F45" w:rsidP="00223F45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si rileva come le competenze necessarie oggi siano diverse</w:t>
      </w:r>
      <w:r w:rsidR="00EE6A31" w:rsidRPr="001D1859">
        <w:rPr>
          <w:rFonts w:ascii="Arial" w:hAnsi="Arial" w:cs="Arial"/>
          <w:color w:val="444444"/>
          <w:sz w:val="12"/>
          <w:szCs w:val="16"/>
        </w:rPr>
        <w:t xml:space="preserve"> d cui la necessità di nuove indicazioni</w:t>
      </w:r>
      <w:r w:rsidRPr="001D1859">
        <w:rPr>
          <w:rFonts w:ascii="Arial" w:hAnsi="Arial" w:cs="Arial"/>
          <w:color w:val="444444"/>
          <w:sz w:val="12"/>
          <w:szCs w:val="16"/>
        </w:rPr>
        <w:t>: </w:t>
      </w:r>
    </w:p>
    <w:p w:rsidR="00EE6A31" w:rsidRPr="001D1859" w:rsidRDefault="00EE6A31" w:rsidP="00223F45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-</w:t>
      </w:r>
      <w:r w:rsidR="00223F45" w:rsidRPr="001D1859">
        <w:rPr>
          <w:rStyle w:val="Enfasicorsivo"/>
          <w:rFonts w:ascii="Arial" w:hAnsi="Arial" w:cs="Arial"/>
          <w:color w:val="444444"/>
          <w:sz w:val="12"/>
          <w:szCs w:val="16"/>
        </w:rPr>
        <w:t>più posti di lavoro sono automatizzati, le tecnologie svolgono un ruolo maggiore in tutti gli ambiti del lavoro e</w:t>
      </w:r>
    </w:p>
    <w:p w:rsidR="00EE6A31" w:rsidRPr="001D1859" w:rsidRDefault="00223F45" w:rsidP="00EE6A31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della vita quotidiana e le competenze imprenditoriali, sociali e civiche diventano più importanti per assicurare</w:t>
      </w:r>
    </w:p>
    <w:p w:rsidR="00EE6A31" w:rsidRPr="001D1859" w:rsidRDefault="00223F45" w:rsidP="00CA1A3F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resilienza e capacità di adattarsi ai cambiamenti</w:t>
      </w:r>
      <w:r w:rsidRPr="001D1859">
        <w:rPr>
          <w:rFonts w:ascii="Arial" w:eastAsia="Times New Roman" w:hAnsi="Arial" w:cs="Arial"/>
          <w:sz w:val="12"/>
          <w:szCs w:val="16"/>
          <w:lang w:eastAsia="it-IT"/>
        </w:rPr>
        <w:t xml:space="preserve"> </w:t>
      </w:r>
      <w:r w:rsidR="00CA1A3F" w:rsidRPr="001D1859">
        <w:rPr>
          <w:rFonts w:ascii="Arial" w:hAnsi="Arial" w:cs="Arial"/>
          <w:color w:val="444444"/>
          <w:sz w:val="12"/>
          <w:szCs w:val="16"/>
        </w:rPr>
        <w:t xml:space="preserve">e anche alla luce  di indagini statistiche relative ai risultati </w:t>
      </w:r>
    </w:p>
    <w:p w:rsidR="00EE6A31" w:rsidRPr="001D1859" w:rsidRDefault="00CA1A3F" w:rsidP="00CA1A3F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 xml:space="preserve">degli apprendimenti, agli Stati membri vengono raccomandate diverse azioni fra le quali sostenere il diritto a </w:t>
      </w:r>
    </w:p>
    <w:p w:rsidR="00CA1A3F" w:rsidRPr="001D1859" w:rsidRDefault="00CA1A3F" w:rsidP="00CA1A3F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 xml:space="preserve">un’istruzione, a una formazione e a un apprendimento permanente di qualità. </w:t>
      </w:r>
    </w:p>
    <w:p w:rsidR="00EE6A31" w:rsidRPr="001D1859" w:rsidRDefault="00EE6A31" w:rsidP="00CA1A3F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Non manca il documento di raccomandare agli Stati membri di:</w:t>
      </w:r>
    </w:p>
    <w:p w:rsidR="00EE6A31" w:rsidRPr="001D1859" w:rsidRDefault="00EE6A31" w:rsidP="00CA1A3F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 </w:t>
      </w: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“facilitare l’acquisizione delle competenze chiave grazie all’utilizzo delle buone pratiche”, </w:t>
      </w:r>
    </w:p>
    <w:p w:rsidR="001D1859" w:rsidRDefault="00EE6A31" w:rsidP="00CA1A3F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“incorporare nell’istruzione, nella formazione e nell’apprendimento le ambizioni degli</w:t>
      </w:r>
      <w:r w:rsid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</w:t>
      </w: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obiettivi di sviluppo sostenibile </w:t>
      </w:r>
    </w:p>
    <w:p w:rsidR="00EE6A31" w:rsidRPr="001D1859" w:rsidRDefault="00EE6A31" w:rsidP="00CA1A3F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delle Nazioni Unite (SDG), in particolare dell’SDG 4.7, anche promuovendo l’acquisizione</w:t>
      </w:r>
    </w:p>
    <w:p w:rsidR="00EE6A31" w:rsidRPr="001D1859" w:rsidRDefault="00EE6A31" w:rsidP="00CA1A3F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di conoscenze sulla limitazione della natura multidimensionale dei cambiamenti climatici e sull’utilizzo sostenibile </w:t>
      </w:r>
    </w:p>
    <w:p w:rsidR="00EE6A31" w:rsidRPr="001D1859" w:rsidRDefault="00EE6A31" w:rsidP="00CA1A3F">
      <w:pPr>
        <w:shd w:val="clear" w:color="auto" w:fill="FFFFFF"/>
        <w:rPr>
          <w:rFonts w:ascii="Arial" w:hAnsi="Arial" w:cs="Arial"/>
          <w:i/>
          <w:iCs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delle risorse naturali</w:t>
      </w:r>
    </w:p>
    <w:p w:rsidR="00CA1A3F" w:rsidRPr="00C82066" w:rsidRDefault="00CA1A3F" w:rsidP="00223F45">
      <w:pPr>
        <w:spacing w:after="75" w:line="240" w:lineRule="auto"/>
        <w:outlineLvl w:val="0"/>
        <w:rPr>
          <w:rFonts w:ascii="Arial" w:hAnsi="Arial" w:cs="Arial"/>
          <w:color w:val="444444"/>
          <w:sz w:val="12"/>
          <w:szCs w:val="16"/>
        </w:rPr>
      </w:pPr>
    </w:p>
    <w:p w:rsidR="00C82066" w:rsidRPr="001D1859" w:rsidRDefault="00C82066" w:rsidP="00223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</w:p>
    <w:p w:rsidR="00C82066" w:rsidRPr="00C82066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.</w:t>
      </w:r>
    </w:p>
    <w:p w:rsidR="00C82066" w:rsidRPr="00C82066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Il nuovo quadro di riferimento delinea 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otto tipi di competenze 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: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alfabetica funzionale;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multilinguistica;</w:t>
      </w:r>
      <w:r w:rsidR="00CA1A3F"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“aumentare il livello delle competenze linguistiche sia nelle lingue ufficiali che nelle altre lingue”,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matematica e competenza in scienze, tecnologie e ingegneria;</w:t>
      </w:r>
    </w:p>
    <w:p w:rsidR="00223F45" w:rsidRPr="001D1859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Style w:val="Enfasicorsivo"/>
          <w:rFonts w:ascii="Arial" w:eastAsia="Times New Roman" w:hAnsi="Arial" w:cs="Arial"/>
          <w:i w:val="0"/>
          <w:iCs w:val="0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digitale;</w:t>
      </w:r>
      <w:r w:rsidR="00223F45"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“innalzare e migliorare il livello delle competenze digitali in tutte le fasi dell’istruzione e della formazione per tutti i segmenti</w:t>
      </w:r>
    </w:p>
    <w:p w:rsidR="00C82066" w:rsidRPr="00C82066" w:rsidRDefault="00223F45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della popolazione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personale, sociale e capacità di imparare a imparare;</w:t>
      </w:r>
    </w:p>
    <w:p w:rsidR="00CA1A3F" w:rsidRPr="001D1859" w:rsidRDefault="00C82066" w:rsidP="00CA1A3F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in materia di cittadinanza;</w:t>
      </w:r>
      <w:r w:rsidR="00CA1A3F"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“promuovere lo sviluppo di competenze in materia di cittadinanza al fine di rafforzare la consapevolezza dei </w:t>
      </w:r>
    </w:p>
    <w:p w:rsidR="00CA1A3F" w:rsidRPr="001D1859" w:rsidRDefault="00CA1A3F" w:rsidP="00CA1A3F">
      <w:pPr>
        <w:shd w:val="clear" w:color="auto" w:fill="FFFFFF"/>
        <w:rPr>
          <w:rFonts w:ascii="Arial" w:hAnsi="Arial" w:cs="Arial"/>
          <w:i/>
          <w:iCs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>valori comuni enunciati nell’articolo 2del trattato sull’Unione europea e nella Carta dei diritti fondamentali dell’Unione europea”</w:t>
      </w:r>
      <w:r w:rsidRPr="001D1859">
        <w:rPr>
          <w:rFonts w:ascii="Arial" w:hAnsi="Arial" w:cs="Arial"/>
          <w:color w:val="444444"/>
          <w:sz w:val="12"/>
          <w:szCs w:val="16"/>
        </w:rPr>
        <w:t>.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</w:p>
    <w:p w:rsidR="00217AB0" w:rsidRPr="001D1859" w:rsidRDefault="00C82066" w:rsidP="00217AB0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imprenditoriale;</w:t>
      </w:r>
      <w:r w:rsidR="00217AB0"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“incoraggiare la competenza imprenditoriale, la creatività e lo spirito di iniziativa in particolare tra i giovani, ad esempio</w:t>
      </w:r>
    </w:p>
    <w:p w:rsidR="00217AB0" w:rsidRPr="001D1859" w:rsidRDefault="00217AB0" w:rsidP="00217AB0">
      <w:pPr>
        <w:shd w:val="clear" w:color="auto" w:fill="FFFFFF"/>
        <w:rPr>
          <w:rStyle w:val="Enfasicorsivo"/>
          <w:rFonts w:ascii="Arial" w:hAnsi="Arial" w:cs="Arial"/>
          <w:color w:val="444444"/>
          <w:sz w:val="12"/>
          <w:szCs w:val="16"/>
        </w:rPr>
      </w:pPr>
      <w:r w:rsidRPr="001D1859">
        <w:rPr>
          <w:rStyle w:val="Enfasicorsivo"/>
          <w:rFonts w:ascii="Arial" w:hAnsi="Arial" w:cs="Arial"/>
          <w:color w:val="444444"/>
          <w:sz w:val="12"/>
          <w:szCs w:val="16"/>
        </w:rPr>
        <w:t xml:space="preserve"> favorendo le occasioni in cui i giovani possano fare almeno un’esperienza imprenditoriale pratica durante l’istruzione scolastica”, </w:t>
      </w: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</w:p>
    <w:p w:rsidR="00C82066" w:rsidRPr="00C82066" w:rsidRDefault="00C82066" w:rsidP="00C82066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competenza in materia di consapevolezza ed espressione culturale.</w:t>
      </w:r>
    </w:p>
    <w:p w:rsidR="001D1859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Ad ogni competenza è dedicata una descrizione analitica sulle conoscenze, abilità e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nell’ultima parte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atteggiamenti che </w:t>
      </w:r>
    </w:p>
    <w:p w:rsidR="00C82066" w:rsidRPr="00C82066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determina</w:t>
      </w:r>
      <w:r w:rsidR="00223F45"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no 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il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suo sviluppo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.</w:t>
      </w:r>
    </w:p>
    <w:p w:rsidR="001D1859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Il</w:t>
      </w:r>
      <w:r w:rsidR="00CA1A3F"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nuovo 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documento dell’UE si arricchi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sce di un capitolo fondamentale: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</w:t>
      </w:r>
    </w:p>
    <w:p w:rsidR="00C82066" w:rsidRPr="00C82066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Sostegno allo sviluppo delle competenze chiave,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che individua tre argomenti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:</w:t>
      </w:r>
    </w:p>
    <w:p w:rsidR="001D1859" w:rsidRDefault="00C82066" w:rsidP="00C82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1D1859">
        <w:rPr>
          <w:rFonts w:ascii="Arial" w:eastAsia="Times New Roman" w:hAnsi="Arial" w:cs="Arial"/>
          <w:b/>
          <w:bCs/>
          <w:color w:val="000000"/>
          <w:sz w:val="12"/>
          <w:szCs w:val="16"/>
          <w:lang w:eastAsia="it-IT"/>
        </w:rPr>
        <w:t>Molteplici approcci e contesti di apprendimento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: indica l’apprendimento interdisciplinare, collaborazione intersettoriale, </w:t>
      </w:r>
    </w:p>
    <w:p w:rsidR="001D1859" w:rsidRDefault="00C82066" w:rsidP="001D18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educazione sociale ed emotiva, delle arti e delle attività fisiche salutari, apprendimento basato sull’indagine e sui progetti,</w:t>
      </w:r>
    </w:p>
    <w:p w:rsidR="00C82066" w:rsidRPr="001D1859" w:rsidRDefault="00C82066" w:rsidP="001D18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sulle arti e sui giochi, metodi di apprendimento sperimentali, apprendimento basato sul lavoro e su metodi scientifici, uso di tecnologie digitali, </w:t>
      </w:r>
    </w:p>
    <w:p w:rsidR="001D1859" w:rsidRDefault="00C82066" w:rsidP="00C82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esperienze imprenditoriali, cooperazione tra contesti educativi, formativi e di apprendimento, inclusione, cooperazione tra partner educativi,</w:t>
      </w:r>
    </w:p>
    <w:p w:rsidR="00C82066" w:rsidRPr="00C82066" w:rsidRDefault="00C82066" w:rsidP="00C82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formativi e di altro tipo nelle comunità locali.</w:t>
      </w:r>
    </w:p>
    <w:p w:rsidR="001D1859" w:rsidRDefault="00C82066" w:rsidP="00C82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1D1859">
        <w:rPr>
          <w:rFonts w:ascii="Arial" w:eastAsia="Times New Roman" w:hAnsi="Arial" w:cs="Arial"/>
          <w:b/>
          <w:bCs/>
          <w:color w:val="000000"/>
          <w:sz w:val="12"/>
          <w:szCs w:val="16"/>
          <w:lang w:eastAsia="it-IT"/>
        </w:rPr>
        <w:t>Sostegno al personale didattico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: propone soluzioni di supporto all’elaborazione di approcci orientati alle competenze nei rispettivi </w:t>
      </w:r>
    </w:p>
    <w:p w:rsidR="00C82066" w:rsidRPr="00C82066" w:rsidRDefault="00C82066" w:rsidP="001D18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contesti mediante scambi di personale, apprendimento tra pari e consulenza tra pari, reti di scuole, elaborazione di pratiche innovative e ricerca.</w:t>
      </w:r>
    </w:p>
    <w:p w:rsidR="001D1859" w:rsidRDefault="00C82066" w:rsidP="00C8206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1D1859">
        <w:rPr>
          <w:rFonts w:ascii="Arial" w:eastAsia="Times New Roman" w:hAnsi="Arial" w:cs="Arial"/>
          <w:b/>
          <w:bCs/>
          <w:color w:val="000000"/>
          <w:sz w:val="12"/>
          <w:szCs w:val="16"/>
          <w:lang w:eastAsia="it-IT"/>
        </w:rPr>
        <w:t>Valutazione e convalida dello sviluppo delle competenze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: avanza la possibilità di integrare la descrizione delle competenze chiave </w:t>
      </w:r>
    </w:p>
    <w:p w:rsidR="001D1859" w:rsidRDefault="00C82066" w:rsidP="001D18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con opportuni strumenti di valutazione diagnostica,</w:t>
      </w:r>
      <w:r w:rsidR="00EE6A31"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formativa e som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mativa e convalida ai livelli opport</w:t>
      </w:r>
      <w:r w:rsidR="00EE6A31"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uni 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dei risultati dell’apprendimento </w:t>
      </w:r>
    </w:p>
    <w:p w:rsidR="00C82066" w:rsidRPr="00C82066" w:rsidRDefault="00C82066" w:rsidP="001D185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ottenuti con l’apprendimento non formale e informale.</w:t>
      </w:r>
    </w:p>
    <w:p w:rsidR="001D1859" w:rsidRDefault="00CA1A3F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Il Dirigente Scolastico </w:t>
      </w:r>
      <w:r w:rsidR="00C82066"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sulla base della realtà in cui la scuola opera 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con il suo atto di indirizzo</w:t>
      </w:r>
      <w:r w:rsidR="00C82066"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, 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può indirizzare il collegio a  </w:t>
      </w:r>
      <w:r w:rsidR="00C82066"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ripensare </w:t>
      </w:r>
    </w:p>
    <w:p w:rsidR="001D1859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il curricolo per competenze inserito nel piano triennale dell’offerta formativa, sia esso digitale o di cittadinanza, ri-progettare i</w:t>
      </w:r>
    </w:p>
    <w:p w:rsidR="001D1859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percorsi educ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ativi e didattici per inserire 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nelle progettazioni curricolari o </w:t>
      </w:r>
      <w:r w:rsidRPr="001D1859">
        <w:rPr>
          <w:rFonts w:ascii="Arial" w:eastAsia="Times New Roman" w:hAnsi="Arial" w:cs="Arial"/>
          <w:color w:val="000000"/>
          <w:sz w:val="12"/>
          <w:szCs w:val="16"/>
          <w:lang w:eastAsia="it-IT"/>
        </w:rPr>
        <w:t>extracurricolari le nuove indicazioni</w:t>
      </w: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fornite dalla</w:t>
      </w:r>
    </w:p>
    <w:p w:rsidR="00C82066" w:rsidRPr="001D1859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  <w:r w:rsidRPr="00C82066">
        <w:rPr>
          <w:rFonts w:ascii="Arial" w:eastAsia="Times New Roman" w:hAnsi="Arial" w:cs="Arial"/>
          <w:color w:val="000000"/>
          <w:sz w:val="12"/>
          <w:szCs w:val="16"/>
          <w:lang w:eastAsia="it-IT"/>
        </w:rPr>
        <w:t xml:space="preserve"> Raccomandazione del 2018.</w:t>
      </w:r>
    </w:p>
    <w:p w:rsidR="00C82066" w:rsidRPr="00C82066" w:rsidRDefault="00C82066" w:rsidP="00C820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6"/>
          <w:lang w:eastAsia="it-IT"/>
        </w:rPr>
      </w:pPr>
    </w:p>
    <w:p w:rsidR="00C82066" w:rsidRPr="001D1859" w:rsidRDefault="00C82066" w:rsidP="00C82066">
      <w:pPr>
        <w:shd w:val="clear" w:color="auto" w:fill="FFFFFF"/>
        <w:rPr>
          <w:rFonts w:ascii="Arial" w:hAnsi="Arial" w:cs="Arial"/>
          <w:color w:val="444444"/>
          <w:sz w:val="12"/>
          <w:szCs w:val="16"/>
        </w:rPr>
      </w:pPr>
      <w:r w:rsidRPr="001D1859">
        <w:rPr>
          <w:rFonts w:ascii="Arial" w:hAnsi="Arial" w:cs="Arial"/>
          <w:color w:val="444444"/>
          <w:sz w:val="12"/>
          <w:szCs w:val="16"/>
        </w:rPr>
        <w:t>.</w:t>
      </w:r>
    </w:p>
    <w:p w:rsidR="00223F45" w:rsidRDefault="00CA1A3F" w:rsidP="00C82066">
      <w:pPr>
        <w:shd w:val="clear" w:color="auto" w:fill="FFFFFF"/>
        <w:rPr>
          <w:rFonts w:ascii="Verdana" w:hAnsi="Verdana"/>
          <w:color w:val="444444"/>
          <w:sz w:val="11"/>
          <w:szCs w:val="11"/>
        </w:rPr>
      </w:pPr>
      <w:r>
        <w:rPr>
          <w:rFonts w:ascii="Verdana" w:hAnsi="Verdana"/>
          <w:color w:val="444444"/>
          <w:sz w:val="11"/>
          <w:szCs w:val="11"/>
        </w:rPr>
        <w:t xml:space="preserve"> </w:t>
      </w:r>
    </w:p>
    <w:p w:rsidR="00223F45" w:rsidRDefault="00CA1A3F" w:rsidP="00C82066">
      <w:pPr>
        <w:shd w:val="clear" w:color="auto" w:fill="FFFFFF"/>
        <w:rPr>
          <w:rFonts w:ascii="Verdana" w:hAnsi="Verdana"/>
          <w:color w:val="444444"/>
          <w:sz w:val="11"/>
          <w:szCs w:val="11"/>
        </w:rPr>
      </w:pPr>
      <w:r>
        <w:rPr>
          <w:rFonts w:ascii="Verdana" w:hAnsi="Verdana"/>
          <w:color w:val="444444"/>
          <w:sz w:val="11"/>
          <w:szCs w:val="11"/>
        </w:rPr>
        <w:lastRenderedPageBreak/>
        <w:t xml:space="preserve"> </w:t>
      </w:r>
    </w:p>
    <w:p w:rsidR="00223F45" w:rsidRDefault="00C82066" w:rsidP="00C82066">
      <w:pPr>
        <w:shd w:val="clear" w:color="auto" w:fill="FFFFFF"/>
        <w:rPr>
          <w:rStyle w:val="Enfasicorsivo"/>
          <w:rFonts w:ascii="Verdana" w:hAnsi="Verdana"/>
          <w:color w:val="444444"/>
          <w:sz w:val="11"/>
          <w:szCs w:val="11"/>
        </w:rPr>
      </w:pPr>
      <w:r>
        <w:rPr>
          <w:rFonts w:ascii="Verdana" w:hAnsi="Verdana"/>
          <w:color w:val="444444"/>
          <w:sz w:val="11"/>
          <w:szCs w:val="11"/>
        </w:rPr>
        <w:t> </w:t>
      </w:r>
    </w:p>
    <w:p w:rsidR="00223F45" w:rsidRDefault="00CA1A3F" w:rsidP="00C82066">
      <w:pPr>
        <w:shd w:val="clear" w:color="auto" w:fill="FFFFFF"/>
        <w:rPr>
          <w:rStyle w:val="Enfasicorsivo"/>
          <w:rFonts w:ascii="Verdana" w:hAnsi="Verdana"/>
          <w:color w:val="444444"/>
          <w:sz w:val="11"/>
          <w:szCs w:val="11"/>
        </w:rPr>
      </w:pPr>
      <w:r>
        <w:rPr>
          <w:rStyle w:val="Enfasicorsivo"/>
          <w:rFonts w:ascii="Verdana" w:hAnsi="Verdana"/>
          <w:color w:val="444444"/>
          <w:sz w:val="11"/>
          <w:szCs w:val="11"/>
        </w:rPr>
        <w:t xml:space="preserve"> </w:t>
      </w:r>
    </w:p>
    <w:p w:rsidR="00C82066" w:rsidRDefault="00C82066" w:rsidP="00C82066">
      <w:pPr>
        <w:shd w:val="clear" w:color="auto" w:fill="FFFFFF"/>
        <w:rPr>
          <w:rFonts w:ascii="Verdana" w:hAnsi="Verdana"/>
          <w:color w:val="444444"/>
          <w:sz w:val="11"/>
          <w:szCs w:val="11"/>
        </w:rPr>
      </w:pPr>
      <w:r>
        <w:rPr>
          <w:rStyle w:val="Enfasicorsivo"/>
          <w:rFonts w:ascii="Verdana" w:hAnsi="Verdana"/>
          <w:color w:val="444444"/>
          <w:sz w:val="11"/>
          <w:szCs w:val="11"/>
        </w:rPr>
        <w:t>”</w:t>
      </w:r>
      <w:r>
        <w:rPr>
          <w:rFonts w:ascii="Verdana" w:hAnsi="Verdana"/>
          <w:color w:val="444444"/>
          <w:sz w:val="11"/>
          <w:szCs w:val="11"/>
        </w:rPr>
        <w:t>.</w:t>
      </w:r>
    </w:p>
    <w:p w:rsidR="00C82066" w:rsidRDefault="00C82066" w:rsidP="00C82066">
      <w:pPr>
        <w:shd w:val="clear" w:color="auto" w:fill="FFFFFF"/>
        <w:rPr>
          <w:rFonts w:ascii="Verdana" w:hAnsi="Verdana"/>
          <w:color w:val="444444"/>
          <w:sz w:val="11"/>
          <w:szCs w:val="11"/>
        </w:rPr>
      </w:pPr>
      <w:r>
        <w:rPr>
          <w:rStyle w:val="Enfasicorsivo"/>
          <w:rFonts w:ascii="Verdana" w:hAnsi="Verdana"/>
          <w:color w:val="444444"/>
          <w:sz w:val="11"/>
          <w:szCs w:val="11"/>
        </w:rPr>
        <w:t>”.</w:t>
      </w:r>
    </w:p>
    <w:p w:rsidR="00916D5D" w:rsidRDefault="00916D5D"/>
    <w:sectPr w:rsidR="00916D5D" w:rsidSect="001D1859">
      <w:pgSz w:w="11906" w:h="16838"/>
      <w:pgMar w:top="1417" w:right="1134" w:bottom="1134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DC" w:rsidRDefault="002143DC" w:rsidP="00EE6A31">
      <w:pPr>
        <w:spacing w:after="0" w:line="240" w:lineRule="auto"/>
      </w:pPr>
      <w:r>
        <w:separator/>
      </w:r>
    </w:p>
  </w:endnote>
  <w:endnote w:type="continuationSeparator" w:id="1">
    <w:p w:rsidR="002143DC" w:rsidRDefault="002143DC" w:rsidP="00E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DC" w:rsidRDefault="002143DC" w:rsidP="00EE6A31">
      <w:pPr>
        <w:spacing w:after="0" w:line="240" w:lineRule="auto"/>
      </w:pPr>
      <w:r>
        <w:separator/>
      </w:r>
    </w:p>
  </w:footnote>
  <w:footnote w:type="continuationSeparator" w:id="1">
    <w:p w:rsidR="002143DC" w:rsidRDefault="002143DC" w:rsidP="00E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C87"/>
    <w:multiLevelType w:val="multilevel"/>
    <w:tmpl w:val="80A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B1F85"/>
    <w:multiLevelType w:val="multilevel"/>
    <w:tmpl w:val="AD82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507A9"/>
    <w:multiLevelType w:val="multilevel"/>
    <w:tmpl w:val="4194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EB3F13"/>
    <w:multiLevelType w:val="multilevel"/>
    <w:tmpl w:val="FAC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066"/>
    <w:rsid w:val="001D1859"/>
    <w:rsid w:val="002143DC"/>
    <w:rsid w:val="00217AB0"/>
    <w:rsid w:val="00223F45"/>
    <w:rsid w:val="00916D5D"/>
    <w:rsid w:val="00C82066"/>
    <w:rsid w:val="00CA1A3F"/>
    <w:rsid w:val="00E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D5D"/>
  </w:style>
  <w:style w:type="paragraph" w:styleId="Titolo1">
    <w:name w:val="heading 1"/>
    <w:basedOn w:val="Normale"/>
    <w:link w:val="Titolo1Carattere"/>
    <w:uiPriority w:val="9"/>
    <w:qFormat/>
    <w:rsid w:val="00C8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2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206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8206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8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8206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06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2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C82066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6A31"/>
  </w:style>
  <w:style w:type="paragraph" w:styleId="Pidipagina">
    <w:name w:val="footer"/>
    <w:basedOn w:val="Normale"/>
    <w:link w:val="PidipaginaCarattere"/>
    <w:uiPriority w:val="99"/>
    <w:semiHidden/>
    <w:unhideWhenUsed/>
    <w:rsid w:val="00EE6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805">
              <w:marLeft w:val="0"/>
              <w:marRight w:val="0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5323">
              <w:marLeft w:val="0"/>
              <w:marRight w:val="0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2018-09-20T11:30:00Z</dcterms:created>
  <dcterms:modified xsi:type="dcterms:W3CDTF">2018-09-20T12:43:00Z</dcterms:modified>
</cp:coreProperties>
</file>